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89" w:rsidRPr="00425BA9" w:rsidRDefault="00425BA9" w:rsidP="00E01151">
      <w:pPr>
        <w:rPr>
          <w:rFonts w:cstheme="minorHAnsi"/>
          <w:b/>
        </w:rPr>
      </w:pPr>
      <w:r w:rsidRPr="00425BA9">
        <w:rPr>
          <w:rFonts w:cstheme="minorHAnsi"/>
        </w:rPr>
        <w:t>Philosophy, Goals, Objectives and Comprehensive Plans</w:t>
      </w:r>
      <w:r w:rsidRPr="00425BA9">
        <w:rPr>
          <w:rFonts w:cstheme="minorHAnsi"/>
        </w:rPr>
        <w:tab/>
      </w:r>
      <w:r w:rsidRPr="00425BA9">
        <w:rPr>
          <w:rFonts w:cstheme="minorHAnsi"/>
        </w:rPr>
        <w:tab/>
      </w:r>
      <w:r w:rsidRPr="00425BA9">
        <w:rPr>
          <w:rFonts w:cstheme="minorHAnsi"/>
        </w:rPr>
        <w:tab/>
        <w:t xml:space="preserve">       </w:t>
      </w:r>
      <w:r w:rsidRPr="00425BA9">
        <w:rPr>
          <w:rFonts w:cstheme="minorHAnsi"/>
          <w:b/>
        </w:rPr>
        <w:t xml:space="preserve">Silver Valley Unified School District </w:t>
      </w:r>
      <w:r w:rsidR="00423B93" w:rsidRPr="00425BA9">
        <w:rPr>
          <w:rFonts w:cstheme="minorHAnsi"/>
          <w:b/>
        </w:rPr>
        <w:t xml:space="preserve">POLICY </w:t>
      </w:r>
      <w:r w:rsidR="00E01151" w:rsidRPr="00425BA9">
        <w:rPr>
          <w:rFonts w:cstheme="minorHAnsi"/>
          <w:b/>
        </w:rPr>
        <w:t xml:space="preserve">0520.1: </w:t>
      </w:r>
      <w:r w:rsidRPr="00425BA9">
        <w:rPr>
          <w:rFonts w:cstheme="minorHAnsi"/>
          <w:b/>
        </w:rPr>
        <w:t>COMPREHENSIVE AND TARGETED SCHOOL IMPROVEMENT</w:t>
      </w:r>
    </w:p>
    <w:p w:rsidR="00995F89" w:rsidRPr="00BA12EF" w:rsidRDefault="00423B93" w:rsidP="00133C55">
      <w:pPr>
        <w:spacing w:after="0"/>
        <w:rPr>
          <w:rFonts w:ascii="Times New Roman" w:hAnsi="Times New Roman" w:cs="Times New Roman"/>
        </w:rPr>
      </w:pPr>
      <w:r w:rsidRPr="00425BA9">
        <w:rPr>
          <w:rFonts w:cstheme="minorHAnsi"/>
          <w:b/>
        </w:rPr>
        <w:t xml:space="preserve">Adoption: </w:t>
      </w:r>
      <w:r w:rsidR="00BA12EF" w:rsidRPr="00425BA9">
        <w:rPr>
          <w:rFonts w:cstheme="minorHAnsi"/>
          <w:b/>
        </w:rPr>
        <w:t>11/10/2020</w:t>
      </w:r>
      <w:r w:rsidR="00995F89" w:rsidRPr="00BA12EF">
        <w:rPr>
          <w:rFonts w:ascii="Times New Roman" w:hAnsi="Times New Roman" w:cs="Times New Roman"/>
        </w:rPr>
        <w:tab/>
      </w:r>
    </w:p>
    <w:p w:rsidR="00995F89" w:rsidRPr="00BA12EF" w:rsidRDefault="00ED3E37" w:rsidP="00133C55">
      <w:pPr>
        <w:spacing w:after="0"/>
        <w:ind w:left="-180" w:right="-180"/>
        <w:rPr>
          <w:rFonts w:ascii="Times New Roman" w:hAnsi="Times New Roman" w:cs="Times New Roman"/>
        </w:rPr>
      </w:pPr>
      <w:r>
        <w:rPr>
          <w:rFonts w:ascii="Times New Roman" w:hAnsi="Times New Roman" w:cs="Times New Roman"/>
        </w:rPr>
        <w:pict>
          <v:rect id="_x0000_i1025" style="width:0;height:1.5pt" o:hralign="center" o:hrstd="t" o:hr="t" fillcolor="#a0a0a0" stroked="f"/>
        </w:pict>
      </w:r>
      <w:bookmarkStart w:id="0" w:name="_GoBack"/>
      <w:bookmarkEnd w:id="0"/>
    </w:p>
    <w:p w:rsidR="00E01151" w:rsidRPr="00BA12EF" w:rsidRDefault="00E01151" w:rsidP="00E01151">
      <w:pPr>
        <w:spacing w:before="120" w:after="120" w:line="240" w:lineRule="auto"/>
        <w:jc w:val="both"/>
      </w:pPr>
      <w:r w:rsidRPr="00BA12EF">
        <w:t>The Governing Board is committed to enabling all district students to meet state academic achievement standards. The district shall provide support and assistance to increase student achievement in all district schools, especially any school that has been identified by the California Department of Education (CDE) as in need of comprehensive support and improvement (CSI), targeted support and improvement (TSI), or additional targeted support and improvement (ATSI).</w:t>
      </w:r>
    </w:p>
    <w:p w:rsidR="00E01151" w:rsidRPr="00BA12EF" w:rsidRDefault="00E01151" w:rsidP="00E01151">
      <w:pPr>
        <w:spacing w:before="120" w:after="120" w:line="240" w:lineRule="auto"/>
        <w:jc w:val="both"/>
      </w:pPr>
      <w:r w:rsidRPr="00BA12EF">
        <w:t>When any school is identified for CSI, TSI, or ATSI, the Superintendent or designee shall notify the school community, including the principal, teachers, and parent/guardians of students of the school, of the identification and, if applicable, shall inform the school of the student subgroup(s) which are consistently underperforming at the school.</w:t>
      </w:r>
    </w:p>
    <w:p w:rsidR="00E01151" w:rsidRPr="00BA12EF" w:rsidRDefault="00E01151" w:rsidP="00E01151">
      <w:pPr>
        <w:spacing w:before="120" w:after="120" w:line="240" w:lineRule="auto"/>
        <w:jc w:val="both"/>
        <w:rPr>
          <w:b/>
          <w:bCs/>
        </w:rPr>
      </w:pPr>
      <w:r w:rsidRPr="00BA12EF">
        <w:rPr>
          <w:b/>
          <w:bCs/>
        </w:rPr>
        <w:t>School Plan</w:t>
      </w:r>
    </w:p>
    <w:p w:rsidR="00E01151" w:rsidRPr="00BA12EF" w:rsidRDefault="00E01151" w:rsidP="00302971">
      <w:pPr>
        <w:spacing w:after="120" w:line="240" w:lineRule="auto"/>
        <w:jc w:val="both"/>
      </w:pPr>
      <w:r w:rsidRPr="00BA12EF">
        <w:t>Upon receiving notification from CDE that a district school has been identified as eligible for CSI, TSI, or ATSI, the district shall, in partnership with principals, other school leaders, teachers, and parents/guardians, develop and implement a plan to improve student outcomes at the school.  The plan shall:  </w:t>
      </w:r>
    </w:p>
    <w:p w:rsidR="00E01151" w:rsidRPr="00BA12EF" w:rsidRDefault="00E01151" w:rsidP="00302971">
      <w:pPr>
        <w:numPr>
          <w:ilvl w:val="0"/>
          <w:numId w:val="4"/>
        </w:numPr>
        <w:spacing w:after="0" w:line="240" w:lineRule="auto"/>
        <w:jc w:val="both"/>
      </w:pPr>
      <w:r w:rsidRPr="00BA12EF">
        <w:t>Be based on all state indicators in the California School Dashboard, including student performance against state-determined long-term goals, except that any school subject to the state's Dashboard Alternative School Status that has fewer than 100 students may focus on the state indicators that are more applicable to the nature of its program </w:t>
      </w:r>
    </w:p>
    <w:p w:rsidR="00E01151" w:rsidRPr="00BA12EF" w:rsidRDefault="00E01151" w:rsidP="00E01151">
      <w:pPr>
        <w:numPr>
          <w:ilvl w:val="0"/>
          <w:numId w:val="4"/>
        </w:numPr>
        <w:spacing w:before="120" w:after="120" w:line="240" w:lineRule="auto"/>
        <w:jc w:val="both"/>
      </w:pPr>
      <w:r w:rsidRPr="00BA12EF">
        <w:t>Be based on a school-level needs assessment </w:t>
      </w:r>
    </w:p>
    <w:p w:rsidR="00E01151" w:rsidRPr="00BA12EF" w:rsidRDefault="00E01151" w:rsidP="00E01151">
      <w:pPr>
        <w:numPr>
          <w:ilvl w:val="0"/>
          <w:numId w:val="4"/>
        </w:numPr>
        <w:spacing w:before="120" w:after="120" w:line="240" w:lineRule="auto"/>
        <w:jc w:val="both"/>
      </w:pPr>
      <w:r w:rsidRPr="00BA12EF">
        <w:t>Include evidence-based interventions </w:t>
      </w:r>
    </w:p>
    <w:p w:rsidR="00E01151" w:rsidRPr="00BA12EF" w:rsidRDefault="00E01151" w:rsidP="00E01151">
      <w:pPr>
        <w:numPr>
          <w:ilvl w:val="0"/>
          <w:numId w:val="4"/>
        </w:numPr>
        <w:spacing w:before="120" w:after="120" w:line="240" w:lineRule="auto"/>
        <w:jc w:val="both"/>
      </w:pPr>
      <w:r w:rsidRPr="00BA12EF">
        <w:t>If the school is identified for CSI or ATSI, identify resource inequities, which may include a review of district and school-level budgets, to be addressed through implementation of the plan  </w:t>
      </w:r>
    </w:p>
    <w:p w:rsidR="00E01151" w:rsidRPr="00BA12EF" w:rsidRDefault="00E01151" w:rsidP="00E01151">
      <w:pPr>
        <w:spacing w:before="120" w:after="120" w:line="240" w:lineRule="auto"/>
        <w:jc w:val="both"/>
      </w:pPr>
      <w:r w:rsidRPr="00BA12EF">
        <w:t>The school plan for student achievement developed pursuant to Education Code 64001 may serve as the school improvement plan required for CSI, TSI, or ATSI, provided that the plan meets the requirements of 20 USC 6311.  </w:t>
      </w:r>
    </w:p>
    <w:p w:rsidR="00E01151" w:rsidRPr="00BA12EF" w:rsidRDefault="00E01151" w:rsidP="00E01151">
      <w:pPr>
        <w:spacing w:before="120" w:after="120" w:line="240" w:lineRule="auto"/>
        <w:jc w:val="both"/>
      </w:pPr>
      <w:r w:rsidRPr="00BA12EF">
        <w:t>The school improvement plan shall be submitted to the Board for approval.  </w:t>
      </w:r>
    </w:p>
    <w:p w:rsidR="00E01151" w:rsidRPr="00BA12EF" w:rsidRDefault="00E01151" w:rsidP="00E01151">
      <w:pPr>
        <w:spacing w:before="120" w:after="120" w:line="240" w:lineRule="auto"/>
        <w:jc w:val="both"/>
      </w:pPr>
      <w:r w:rsidRPr="00BA12EF">
        <w:t>If any district school is identified for CSI, the district's local control and accountability plan shall include descriptions of how the district provides support to CSI school(s) in developing the CSI plan and how the district will monitor and evaluate the implementation and effectiveness of the CSI plan to support student and school improvement.</w:t>
      </w:r>
    </w:p>
    <w:p w:rsidR="00E01151" w:rsidRPr="00BA12EF" w:rsidRDefault="00E01151" w:rsidP="00E01151">
      <w:pPr>
        <w:spacing w:before="120" w:after="120" w:line="240" w:lineRule="auto"/>
        <w:jc w:val="both"/>
        <w:rPr>
          <w:b/>
          <w:bCs/>
        </w:rPr>
      </w:pPr>
      <w:r w:rsidRPr="00BA12EF">
        <w:rPr>
          <w:b/>
          <w:bCs/>
        </w:rPr>
        <w:t>Monitoring and Intervention</w:t>
      </w:r>
    </w:p>
    <w:p w:rsidR="00E01151" w:rsidRPr="00BA12EF" w:rsidRDefault="00E01151" w:rsidP="00E01151">
      <w:pPr>
        <w:spacing w:before="120" w:after="120" w:line="240" w:lineRule="auto"/>
        <w:jc w:val="both"/>
      </w:pPr>
      <w:r w:rsidRPr="00BA12EF">
        <w:t>The Board and the Superintendent or designee shall regularly review the performance of each school identified for CSI, TSI, or ATSI. </w:t>
      </w:r>
    </w:p>
    <w:p w:rsidR="00E01151" w:rsidRPr="00BA12EF" w:rsidRDefault="00E01151" w:rsidP="00E01151">
      <w:pPr>
        <w:spacing w:before="120" w:after="120" w:line="240" w:lineRule="auto"/>
        <w:jc w:val="both"/>
      </w:pPr>
      <w:r w:rsidRPr="00BA12EF">
        <w:t>After two years of implementing the school plan, if any such school has been unsuccessful in improving student outcomes to a level that exceeds initial eligibility criteria, the district shall identify the problem and take additional action as necessary.</w:t>
      </w:r>
    </w:p>
    <w:p w:rsidR="00E01151" w:rsidRPr="00BA12EF" w:rsidRDefault="00E01151" w:rsidP="00302971">
      <w:pPr>
        <w:spacing w:after="120" w:line="240" w:lineRule="auto"/>
        <w:jc w:val="both"/>
      </w:pPr>
      <w:r w:rsidRPr="00BA12EF">
        <w:t>If a school identified for CSI fails to improve student outcomes within four years to a level that exceeds the CSI eligibility criteria, it shall be subject to more rigorous interventions that include, but are not limited to, partnering with an external entity, agency, or individual with demonstrated expertise and capacity to:</w:t>
      </w:r>
    </w:p>
    <w:p w:rsidR="00E01151" w:rsidRPr="00BA12EF" w:rsidRDefault="00E01151" w:rsidP="00302971">
      <w:pPr>
        <w:numPr>
          <w:ilvl w:val="0"/>
          <w:numId w:val="5"/>
        </w:numPr>
        <w:spacing w:after="120" w:line="240" w:lineRule="auto"/>
        <w:jc w:val="both"/>
      </w:pPr>
      <w:r w:rsidRPr="00BA12EF">
        <w:lastRenderedPageBreak/>
        <w:t>Conduct a new needs assessment that focuses on systemic factors and conduct a root cause analysis that identifies gaps between current conditions and desired conditions in student performance and progress </w:t>
      </w:r>
    </w:p>
    <w:p w:rsidR="00E01151" w:rsidRPr="00BA12EF" w:rsidRDefault="00E01151" w:rsidP="00302971">
      <w:pPr>
        <w:numPr>
          <w:ilvl w:val="0"/>
          <w:numId w:val="5"/>
        </w:numPr>
        <w:spacing w:after="0" w:line="240" w:lineRule="auto"/>
        <w:jc w:val="both"/>
      </w:pPr>
      <w:r w:rsidRPr="00BA12EF">
        <w:t>Use the results of the analysis along with stakeholder feedback to develop a new improvement plan that includes: </w:t>
      </w:r>
    </w:p>
    <w:p w:rsidR="00E01151" w:rsidRPr="00BA12EF" w:rsidRDefault="00E01151" w:rsidP="00302971">
      <w:pPr>
        <w:numPr>
          <w:ilvl w:val="1"/>
          <w:numId w:val="5"/>
        </w:numPr>
        <w:spacing w:after="0" w:line="240" w:lineRule="auto"/>
        <w:jc w:val="both"/>
      </w:pPr>
      <w:r w:rsidRPr="00BA12EF">
        <w:t>A prioritized set of evidence-based interventions and strategies  </w:t>
      </w:r>
    </w:p>
    <w:p w:rsidR="00824CF2" w:rsidRPr="00BA12EF" w:rsidRDefault="00E01151" w:rsidP="00302971">
      <w:pPr>
        <w:numPr>
          <w:ilvl w:val="1"/>
          <w:numId w:val="5"/>
        </w:numPr>
        <w:spacing w:after="0" w:line="240" w:lineRule="auto"/>
        <w:jc w:val="both"/>
      </w:pPr>
      <w:r w:rsidRPr="00BA12EF">
        <w:t>A program evaluation component with support to conduct ongoing performance and progress monitoring</w:t>
      </w:r>
    </w:p>
    <w:p w:rsidR="00E01151" w:rsidRPr="00BA12EF" w:rsidRDefault="00425BA9" w:rsidP="00425BA9">
      <w:pPr>
        <w:spacing w:before="120" w:after="120" w:line="240" w:lineRule="auto"/>
        <w:ind w:left="-180" w:right="-90"/>
        <w:jc w:val="both"/>
      </w:pPr>
      <w:r>
        <w:rPr>
          <w:rFonts w:ascii="Times New Roman" w:hAnsi="Times New Roman" w:cs="Times New Roman"/>
        </w:rPr>
        <w:pict>
          <v:rect id="_x0000_i1031" style="width:0;height:1.5pt" o:hralign="center" o:hrstd="t" o:hr="t" fillcolor="#a0a0a0" stroked="f"/>
        </w:pict>
      </w:r>
    </w:p>
    <w:p w:rsidR="00A516FD" w:rsidRPr="00BA12EF" w:rsidRDefault="00A516FD" w:rsidP="00A516FD">
      <w:pPr>
        <w:tabs>
          <w:tab w:val="left" w:pos="360"/>
          <w:tab w:val="left" w:pos="4320"/>
          <w:tab w:val="left" w:pos="5040"/>
        </w:tabs>
        <w:spacing w:after="0"/>
        <w:ind w:left="360"/>
        <w:rPr>
          <w:rFonts w:cstheme="minorHAnsi"/>
          <w:b/>
          <w:sz w:val="20"/>
          <w:szCs w:val="20"/>
        </w:rPr>
      </w:pPr>
      <w:r w:rsidRPr="00BA12EF">
        <w:rPr>
          <w:rFonts w:cstheme="minorHAnsi"/>
          <w:b/>
          <w:sz w:val="20"/>
          <w:szCs w:val="20"/>
        </w:rPr>
        <w:t xml:space="preserve">Policy Reference Disclaimer: </w:t>
      </w:r>
      <w:r w:rsidRPr="00BA12EF">
        <w:rPr>
          <w:rFonts w:cstheme="minorHAnsi"/>
          <w:sz w:val="20"/>
          <w:szCs w:val="20"/>
        </w:rPr>
        <w:t>These references are not intended to be part of the policy itself, nor do they indicate the basis or authority for the board to enact this policy. Instead, they are provided as additional resources for those interested in the subject matter of the policy.</w:t>
      </w:r>
    </w:p>
    <w:p w:rsidR="00A516FD" w:rsidRPr="00BA12EF" w:rsidRDefault="00A516FD" w:rsidP="00A516FD">
      <w:pPr>
        <w:tabs>
          <w:tab w:val="left" w:pos="360"/>
          <w:tab w:val="left" w:pos="4320"/>
          <w:tab w:val="left" w:pos="5040"/>
        </w:tabs>
        <w:spacing w:after="0"/>
        <w:ind w:left="360"/>
        <w:rPr>
          <w:rFonts w:cstheme="minorHAnsi"/>
          <w:b/>
          <w:sz w:val="20"/>
          <w:szCs w:val="20"/>
        </w:rPr>
      </w:pPr>
    </w:p>
    <w:p w:rsidR="00E01151" w:rsidRPr="00BA12EF" w:rsidRDefault="00E01151" w:rsidP="00E01151">
      <w:pPr>
        <w:tabs>
          <w:tab w:val="left" w:pos="360"/>
          <w:tab w:val="left" w:pos="4320"/>
          <w:tab w:val="left" w:pos="5040"/>
        </w:tabs>
        <w:spacing w:after="0"/>
        <w:ind w:left="360"/>
        <w:rPr>
          <w:rFonts w:cstheme="minorHAnsi"/>
          <w:b/>
          <w:sz w:val="20"/>
          <w:szCs w:val="20"/>
        </w:rPr>
      </w:pPr>
      <w:r w:rsidRPr="00BA12EF">
        <w:rPr>
          <w:rFonts w:cstheme="minorHAnsi"/>
          <w:b/>
          <w:sz w:val="20"/>
          <w:szCs w:val="20"/>
          <w:u w:val="single"/>
        </w:rPr>
        <w:t>State Reference</w:t>
      </w:r>
      <w:r w:rsidRPr="00BA12EF">
        <w:rPr>
          <w:rFonts w:cstheme="minorHAnsi"/>
          <w:b/>
          <w:sz w:val="20"/>
          <w:szCs w:val="20"/>
        </w:rPr>
        <w:tab/>
      </w:r>
      <w:r w:rsidRPr="00BA12EF">
        <w:rPr>
          <w:rFonts w:cstheme="minorHAnsi"/>
          <w:b/>
          <w:sz w:val="20"/>
          <w:szCs w:val="20"/>
          <w:u w:val="single"/>
        </w:rPr>
        <w:t>Description</w:t>
      </w:r>
    </w:p>
    <w:p w:rsidR="00E01151" w:rsidRPr="00BA12EF" w:rsidRDefault="00E01151" w:rsidP="00E01151">
      <w:pPr>
        <w:tabs>
          <w:tab w:val="left" w:pos="360"/>
          <w:tab w:val="left" w:pos="4320"/>
          <w:tab w:val="left" w:pos="5040"/>
        </w:tabs>
        <w:spacing w:after="0"/>
        <w:ind w:left="360"/>
        <w:rPr>
          <w:rFonts w:cstheme="minorHAnsi"/>
          <w:sz w:val="20"/>
          <w:szCs w:val="20"/>
        </w:rPr>
      </w:pPr>
      <w:r w:rsidRPr="00BA12EF">
        <w:rPr>
          <w:rFonts w:cstheme="minorHAnsi"/>
          <w:sz w:val="20"/>
          <w:szCs w:val="20"/>
        </w:rPr>
        <w:t>Ed. Code 52052</w:t>
      </w:r>
      <w:r w:rsidRPr="00BA12EF">
        <w:rPr>
          <w:rFonts w:cstheme="minorHAnsi"/>
          <w:sz w:val="20"/>
          <w:szCs w:val="20"/>
        </w:rPr>
        <w:tab/>
        <w:t>Numerically significant student subgroups</w:t>
      </w:r>
    </w:p>
    <w:p w:rsidR="00E01151" w:rsidRPr="00BA12EF" w:rsidRDefault="00E01151" w:rsidP="00E01151">
      <w:pPr>
        <w:tabs>
          <w:tab w:val="left" w:pos="360"/>
          <w:tab w:val="left" w:pos="4320"/>
          <w:tab w:val="left" w:pos="5040"/>
        </w:tabs>
        <w:spacing w:after="0"/>
        <w:ind w:left="360"/>
        <w:rPr>
          <w:rFonts w:cstheme="minorHAnsi"/>
          <w:sz w:val="20"/>
          <w:szCs w:val="20"/>
        </w:rPr>
      </w:pPr>
      <w:r w:rsidRPr="00BA12EF">
        <w:rPr>
          <w:rFonts w:cstheme="minorHAnsi"/>
          <w:sz w:val="20"/>
          <w:szCs w:val="20"/>
        </w:rPr>
        <w:t>Ed. Code 52059.5</w:t>
      </w:r>
      <w:r w:rsidRPr="00BA12EF">
        <w:rPr>
          <w:rFonts w:cstheme="minorHAnsi"/>
          <w:sz w:val="20"/>
          <w:szCs w:val="20"/>
        </w:rPr>
        <w:tab/>
        <w:t>Statewide system of support</w:t>
      </w:r>
    </w:p>
    <w:p w:rsidR="00E01151" w:rsidRPr="00BA12EF" w:rsidRDefault="00E01151" w:rsidP="00E01151">
      <w:pPr>
        <w:tabs>
          <w:tab w:val="left" w:pos="360"/>
          <w:tab w:val="left" w:pos="4320"/>
          <w:tab w:val="left" w:pos="5040"/>
        </w:tabs>
        <w:spacing w:after="0"/>
        <w:ind w:left="360"/>
        <w:rPr>
          <w:rFonts w:cstheme="minorHAnsi"/>
          <w:sz w:val="20"/>
          <w:szCs w:val="20"/>
        </w:rPr>
      </w:pPr>
      <w:r w:rsidRPr="00BA12EF">
        <w:rPr>
          <w:rFonts w:cstheme="minorHAnsi"/>
          <w:sz w:val="20"/>
          <w:szCs w:val="20"/>
        </w:rPr>
        <w:t>Ed. Code 52060-52077</w:t>
      </w:r>
      <w:r w:rsidRPr="00BA12EF">
        <w:rPr>
          <w:rFonts w:cstheme="minorHAnsi"/>
          <w:sz w:val="20"/>
          <w:szCs w:val="20"/>
        </w:rPr>
        <w:tab/>
        <w:t>Local control and accountability plan</w:t>
      </w:r>
    </w:p>
    <w:p w:rsidR="00E01151" w:rsidRPr="00BA12EF" w:rsidRDefault="00E01151" w:rsidP="00E01151">
      <w:pPr>
        <w:tabs>
          <w:tab w:val="left" w:pos="360"/>
          <w:tab w:val="left" w:pos="4320"/>
          <w:tab w:val="left" w:pos="5040"/>
        </w:tabs>
        <w:spacing w:after="0"/>
        <w:ind w:left="360"/>
        <w:rPr>
          <w:rFonts w:cstheme="minorHAnsi"/>
          <w:sz w:val="20"/>
          <w:szCs w:val="20"/>
        </w:rPr>
      </w:pPr>
      <w:r w:rsidRPr="00BA12EF">
        <w:rPr>
          <w:rFonts w:cstheme="minorHAnsi"/>
          <w:sz w:val="20"/>
          <w:szCs w:val="20"/>
        </w:rPr>
        <w:t>Federal Reference</w:t>
      </w:r>
      <w:r w:rsidRPr="00BA12EF">
        <w:rPr>
          <w:rFonts w:cstheme="minorHAnsi"/>
          <w:sz w:val="20"/>
          <w:szCs w:val="20"/>
        </w:rPr>
        <w:tab/>
        <w:t>Description</w:t>
      </w:r>
    </w:p>
    <w:p w:rsidR="00E01151" w:rsidRPr="00BA12EF" w:rsidRDefault="00E01151" w:rsidP="00E01151">
      <w:pPr>
        <w:tabs>
          <w:tab w:val="left" w:pos="360"/>
          <w:tab w:val="left" w:pos="4320"/>
          <w:tab w:val="left" w:pos="5040"/>
        </w:tabs>
        <w:spacing w:after="0"/>
        <w:ind w:left="360"/>
        <w:rPr>
          <w:rFonts w:cstheme="minorHAnsi"/>
          <w:sz w:val="20"/>
          <w:szCs w:val="20"/>
        </w:rPr>
      </w:pPr>
      <w:r w:rsidRPr="00BA12EF">
        <w:rPr>
          <w:rFonts w:cstheme="minorHAnsi"/>
          <w:sz w:val="20"/>
          <w:szCs w:val="20"/>
        </w:rPr>
        <w:t>20 USC 6311-6322</w:t>
      </w:r>
      <w:r w:rsidRPr="00BA12EF">
        <w:rPr>
          <w:rFonts w:cstheme="minorHAnsi"/>
          <w:sz w:val="20"/>
          <w:szCs w:val="20"/>
        </w:rPr>
        <w:tab/>
        <w:t>Improving basic programs for disadvantaged students</w:t>
      </w:r>
    </w:p>
    <w:p w:rsidR="00E01151" w:rsidRPr="00BA12EF" w:rsidRDefault="00E01151" w:rsidP="00E01151">
      <w:pPr>
        <w:tabs>
          <w:tab w:val="left" w:pos="360"/>
          <w:tab w:val="left" w:pos="4320"/>
          <w:tab w:val="left" w:pos="5040"/>
        </w:tabs>
        <w:spacing w:after="0"/>
        <w:ind w:left="360"/>
        <w:rPr>
          <w:rFonts w:cstheme="minorHAnsi"/>
          <w:sz w:val="20"/>
          <w:szCs w:val="20"/>
        </w:rPr>
      </w:pPr>
      <w:r w:rsidRPr="00BA12EF">
        <w:rPr>
          <w:rFonts w:cstheme="minorHAnsi"/>
          <w:sz w:val="20"/>
          <w:szCs w:val="20"/>
        </w:rPr>
        <w:t>20 USC 6313</w:t>
      </w:r>
      <w:r w:rsidRPr="00BA12EF">
        <w:rPr>
          <w:rFonts w:cstheme="minorHAnsi"/>
          <w:sz w:val="20"/>
          <w:szCs w:val="20"/>
        </w:rPr>
        <w:tab/>
        <w:t>Eligibility of schools and school attendance areas; funding allocation</w:t>
      </w:r>
    </w:p>
    <w:p w:rsidR="00E01151" w:rsidRPr="00BA12EF" w:rsidRDefault="00E01151" w:rsidP="00E01151">
      <w:pPr>
        <w:tabs>
          <w:tab w:val="left" w:pos="360"/>
          <w:tab w:val="left" w:pos="4320"/>
          <w:tab w:val="left" w:pos="5040"/>
        </w:tabs>
        <w:spacing w:after="0"/>
        <w:ind w:left="360"/>
        <w:rPr>
          <w:rFonts w:cstheme="minorHAnsi"/>
          <w:sz w:val="20"/>
          <w:szCs w:val="20"/>
        </w:rPr>
      </w:pPr>
      <w:r w:rsidRPr="00BA12EF">
        <w:rPr>
          <w:rFonts w:cstheme="minorHAnsi"/>
          <w:sz w:val="20"/>
          <w:szCs w:val="20"/>
        </w:rPr>
        <w:t>US DOE Publications</w:t>
      </w:r>
      <w:r w:rsidRPr="00BA12EF">
        <w:rPr>
          <w:rFonts w:cstheme="minorHAnsi"/>
          <w:sz w:val="20"/>
          <w:szCs w:val="20"/>
        </w:rPr>
        <w:tab/>
        <w:t xml:space="preserve">Non-Regulatory Guidance: Using Evidence to Strengthen Education </w:t>
      </w:r>
    </w:p>
    <w:p w:rsidR="00E01151" w:rsidRPr="00BA12EF" w:rsidRDefault="00E01151" w:rsidP="00E01151">
      <w:pPr>
        <w:tabs>
          <w:tab w:val="left" w:pos="360"/>
          <w:tab w:val="left" w:pos="4320"/>
          <w:tab w:val="left" w:pos="5040"/>
        </w:tabs>
        <w:spacing w:after="0"/>
        <w:ind w:left="360"/>
        <w:rPr>
          <w:rFonts w:cstheme="minorHAnsi"/>
          <w:sz w:val="20"/>
          <w:szCs w:val="20"/>
        </w:rPr>
      </w:pPr>
      <w:r w:rsidRPr="00BA12EF">
        <w:rPr>
          <w:rFonts w:cstheme="minorHAnsi"/>
          <w:sz w:val="20"/>
          <w:szCs w:val="20"/>
        </w:rPr>
        <w:tab/>
        <w:t>Investments, 2016</w:t>
      </w:r>
    </w:p>
    <w:p w:rsidR="00E01151" w:rsidRPr="00BA12EF" w:rsidRDefault="00E01151" w:rsidP="00E01151">
      <w:pPr>
        <w:tabs>
          <w:tab w:val="left" w:pos="360"/>
          <w:tab w:val="left" w:pos="4320"/>
          <w:tab w:val="left" w:pos="5040"/>
        </w:tabs>
        <w:spacing w:after="0"/>
        <w:ind w:left="360"/>
        <w:rPr>
          <w:rFonts w:cstheme="minorHAnsi"/>
          <w:sz w:val="20"/>
          <w:szCs w:val="20"/>
        </w:rPr>
      </w:pPr>
    </w:p>
    <w:p w:rsidR="00E01151" w:rsidRPr="00BA12EF" w:rsidRDefault="00E01151" w:rsidP="00E01151">
      <w:pPr>
        <w:tabs>
          <w:tab w:val="left" w:pos="360"/>
          <w:tab w:val="left" w:pos="4320"/>
          <w:tab w:val="left" w:pos="5040"/>
        </w:tabs>
        <w:spacing w:after="0"/>
        <w:ind w:left="360"/>
        <w:rPr>
          <w:rFonts w:cstheme="minorHAnsi"/>
          <w:b/>
          <w:sz w:val="20"/>
          <w:szCs w:val="20"/>
        </w:rPr>
      </w:pPr>
      <w:r w:rsidRPr="00BA12EF">
        <w:rPr>
          <w:rFonts w:cstheme="minorHAnsi"/>
          <w:b/>
          <w:sz w:val="20"/>
          <w:szCs w:val="20"/>
          <w:u w:val="single"/>
        </w:rPr>
        <w:t>Management Resources Reference</w:t>
      </w:r>
      <w:r w:rsidRPr="00BA12EF">
        <w:rPr>
          <w:rFonts w:cstheme="minorHAnsi"/>
          <w:b/>
          <w:sz w:val="20"/>
          <w:szCs w:val="20"/>
        </w:rPr>
        <w:tab/>
      </w:r>
      <w:r w:rsidRPr="00BA12EF">
        <w:rPr>
          <w:rFonts w:cstheme="minorHAnsi"/>
          <w:b/>
          <w:sz w:val="20"/>
          <w:szCs w:val="20"/>
          <w:u w:val="single"/>
        </w:rPr>
        <w:t>Description</w:t>
      </w:r>
    </w:p>
    <w:p w:rsidR="00E01151" w:rsidRPr="00BA12EF" w:rsidRDefault="00E01151" w:rsidP="00E01151">
      <w:pPr>
        <w:tabs>
          <w:tab w:val="left" w:pos="360"/>
          <w:tab w:val="left" w:pos="4320"/>
          <w:tab w:val="left" w:pos="5040"/>
        </w:tabs>
        <w:spacing w:after="0"/>
        <w:ind w:left="360"/>
        <w:rPr>
          <w:rFonts w:cstheme="minorHAnsi"/>
          <w:sz w:val="20"/>
          <w:szCs w:val="20"/>
        </w:rPr>
      </w:pPr>
      <w:r w:rsidRPr="00BA12EF">
        <w:rPr>
          <w:rFonts w:cstheme="minorHAnsi"/>
          <w:sz w:val="20"/>
          <w:szCs w:val="20"/>
        </w:rPr>
        <w:t>CA DOE Publication</w:t>
      </w:r>
      <w:r w:rsidRPr="00BA12EF">
        <w:rPr>
          <w:rFonts w:cstheme="minorHAnsi"/>
          <w:sz w:val="20"/>
          <w:szCs w:val="20"/>
        </w:rPr>
        <w:tab/>
        <w:t>CSI/TSI/ATSI Frequently Asked Questions</w:t>
      </w:r>
    </w:p>
    <w:p w:rsidR="00E01151" w:rsidRPr="00BA12EF" w:rsidRDefault="00E01151" w:rsidP="00E01151">
      <w:pPr>
        <w:tabs>
          <w:tab w:val="left" w:pos="360"/>
          <w:tab w:val="left" w:pos="4320"/>
          <w:tab w:val="left" w:pos="5040"/>
        </w:tabs>
        <w:spacing w:after="0"/>
        <w:ind w:left="360"/>
        <w:rPr>
          <w:rFonts w:cstheme="minorHAnsi"/>
          <w:sz w:val="20"/>
          <w:szCs w:val="20"/>
        </w:rPr>
      </w:pPr>
      <w:r w:rsidRPr="00BA12EF">
        <w:rPr>
          <w:rFonts w:cstheme="minorHAnsi"/>
          <w:sz w:val="20"/>
          <w:szCs w:val="20"/>
        </w:rPr>
        <w:t>CA DOE Publication</w:t>
      </w:r>
      <w:r w:rsidRPr="00BA12EF">
        <w:rPr>
          <w:rFonts w:cstheme="minorHAnsi"/>
          <w:sz w:val="20"/>
          <w:szCs w:val="20"/>
        </w:rPr>
        <w:tab/>
        <w:t>California ESSA Consolidated State Plan, 2017</w:t>
      </w:r>
    </w:p>
    <w:p w:rsidR="00E01151" w:rsidRPr="00BA12EF" w:rsidRDefault="00E01151" w:rsidP="00E01151">
      <w:pPr>
        <w:tabs>
          <w:tab w:val="left" w:pos="360"/>
          <w:tab w:val="left" w:pos="4320"/>
          <w:tab w:val="left" w:pos="5040"/>
        </w:tabs>
        <w:spacing w:after="0"/>
        <w:ind w:left="360"/>
        <w:rPr>
          <w:rFonts w:cstheme="minorHAnsi"/>
          <w:sz w:val="20"/>
          <w:szCs w:val="20"/>
        </w:rPr>
      </w:pPr>
      <w:r w:rsidRPr="00BA12EF">
        <w:rPr>
          <w:rFonts w:cstheme="minorHAnsi"/>
          <w:sz w:val="20"/>
          <w:szCs w:val="20"/>
        </w:rPr>
        <w:t>CA DOE Publication</w:t>
      </w:r>
      <w:r w:rsidRPr="00BA12EF">
        <w:rPr>
          <w:rFonts w:cstheme="minorHAnsi"/>
          <w:sz w:val="20"/>
          <w:szCs w:val="20"/>
        </w:rPr>
        <w:tab/>
        <w:t>California School Dashboard</w:t>
      </w:r>
    </w:p>
    <w:p w:rsidR="00E01151" w:rsidRPr="00BA12EF" w:rsidRDefault="00E01151" w:rsidP="00E01151">
      <w:pPr>
        <w:tabs>
          <w:tab w:val="left" w:pos="360"/>
          <w:tab w:val="left" w:pos="4320"/>
          <w:tab w:val="left" w:pos="5040"/>
        </w:tabs>
        <w:spacing w:after="0"/>
        <w:ind w:left="360"/>
        <w:rPr>
          <w:rFonts w:cstheme="minorHAnsi"/>
          <w:sz w:val="20"/>
          <w:szCs w:val="20"/>
        </w:rPr>
      </w:pPr>
      <w:r w:rsidRPr="00BA12EF">
        <w:rPr>
          <w:rFonts w:cstheme="minorHAnsi"/>
          <w:sz w:val="20"/>
          <w:szCs w:val="20"/>
        </w:rPr>
        <w:t>Website</w:t>
      </w:r>
      <w:r w:rsidRPr="00BA12EF">
        <w:rPr>
          <w:rFonts w:cstheme="minorHAnsi"/>
          <w:sz w:val="20"/>
          <w:szCs w:val="20"/>
        </w:rPr>
        <w:tab/>
        <w:t>California Department of Education</w:t>
      </w:r>
    </w:p>
    <w:p w:rsidR="00E01151" w:rsidRPr="00BA12EF" w:rsidRDefault="00E01151" w:rsidP="00E01151">
      <w:pPr>
        <w:tabs>
          <w:tab w:val="left" w:pos="360"/>
          <w:tab w:val="left" w:pos="4320"/>
          <w:tab w:val="left" w:pos="5040"/>
        </w:tabs>
        <w:spacing w:after="0"/>
        <w:ind w:left="360"/>
        <w:rPr>
          <w:rFonts w:cstheme="minorHAnsi"/>
          <w:sz w:val="20"/>
          <w:szCs w:val="20"/>
        </w:rPr>
      </w:pPr>
      <w:r w:rsidRPr="00BA12EF">
        <w:rPr>
          <w:rFonts w:cstheme="minorHAnsi"/>
          <w:sz w:val="20"/>
          <w:szCs w:val="20"/>
        </w:rPr>
        <w:t>Website</w:t>
      </w:r>
      <w:r w:rsidRPr="00BA12EF">
        <w:rPr>
          <w:rFonts w:cstheme="minorHAnsi"/>
          <w:sz w:val="20"/>
          <w:szCs w:val="20"/>
        </w:rPr>
        <w:tab/>
        <w:t>U.S. Department of Education</w:t>
      </w:r>
    </w:p>
    <w:p w:rsidR="00E01151" w:rsidRPr="00BA12EF" w:rsidRDefault="00E01151" w:rsidP="00E01151">
      <w:pPr>
        <w:tabs>
          <w:tab w:val="left" w:pos="360"/>
          <w:tab w:val="left" w:pos="4320"/>
          <w:tab w:val="left" w:pos="5040"/>
        </w:tabs>
        <w:spacing w:after="0"/>
        <w:ind w:left="360"/>
        <w:rPr>
          <w:rFonts w:cstheme="minorHAnsi"/>
          <w:sz w:val="20"/>
          <w:szCs w:val="20"/>
        </w:rPr>
      </w:pPr>
      <w:r w:rsidRPr="00BA12EF">
        <w:rPr>
          <w:rFonts w:cstheme="minorHAnsi"/>
          <w:sz w:val="20"/>
          <w:szCs w:val="20"/>
        </w:rPr>
        <w:t>Website</w:t>
      </w:r>
      <w:r w:rsidRPr="00BA12EF">
        <w:rPr>
          <w:rFonts w:cstheme="minorHAnsi"/>
          <w:sz w:val="20"/>
          <w:szCs w:val="20"/>
        </w:rPr>
        <w:tab/>
        <w:t>California School Dashboard</w:t>
      </w:r>
    </w:p>
    <w:p w:rsidR="00E01151" w:rsidRPr="00BA12EF" w:rsidRDefault="00E01151" w:rsidP="00E01151">
      <w:pPr>
        <w:tabs>
          <w:tab w:val="left" w:pos="360"/>
          <w:tab w:val="left" w:pos="4320"/>
          <w:tab w:val="left" w:pos="5040"/>
        </w:tabs>
        <w:spacing w:after="0"/>
        <w:ind w:left="360"/>
        <w:rPr>
          <w:rFonts w:cstheme="minorHAnsi"/>
          <w:sz w:val="20"/>
          <w:szCs w:val="20"/>
        </w:rPr>
      </w:pPr>
    </w:p>
    <w:p w:rsidR="00E01151" w:rsidRPr="00BA12EF" w:rsidRDefault="00E01151" w:rsidP="00E01151">
      <w:pPr>
        <w:tabs>
          <w:tab w:val="left" w:pos="360"/>
          <w:tab w:val="left" w:pos="4320"/>
          <w:tab w:val="left" w:pos="5040"/>
        </w:tabs>
        <w:spacing w:after="0"/>
        <w:ind w:left="360"/>
        <w:rPr>
          <w:rFonts w:cstheme="minorHAnsi"/>
          <w:b/>
          <w:sz w:val="20"/>
          <w:szCs w:val="20"/>
        </w:rPr>
      </w:pPr>
      <w:r w:rsidRPr="00BA12EF">
        <w:rPr>
          <w:rFonts w:cstheme="minorHAnsi"/>
          <w:b/>
          <w:sz w:val="20"/>
          <w:szCs w:val="20"/>
          <w:u w:val="single"/>
        </w:rPr>
        <w:t>Policy Reference</w:t>
      </w:r>
      <w:r w:rsidRPr="00BA12EF">
        <w:rPr>
          <w:rFonts w:cstheme="minorHAnsi"/>
          <w:b/>
          <w:sz w:val="20"/>
          <w:szCs w:val="20"/>
        </w:rPr>
        <w:tab/>
      </w:r>
      <w:r w:rsidRPr="00BA12EF">
        <w:rPr>
          <w:rFonts w:cstheme="minorHAnsi"/>
          <w:b/>
          <w:sz w:val="20"/>
          <w:szCs w:val="20"/>
          <w:u w:val="single"/>
        </w:rPr>
        <w:t>Description</w:t>
      </w:r>
    </w:p>
    <w:p w:rsidR="00E01151" w:rsidRPr="00BA12EF" w:rsidRDefault="00E01151" w:rsidP="00E01151">
      <w:pPr>
        <w:tabs>
          <w:tab w:val="left" w:pos="360"/>
          <w:tab w:val="left" w:pos="4320"/>
          <w:tab w:val="left" w:pos="5040"/>
        </w:tabs>
        <w:spacing w:after="0"/>
        <w:ind w:left="360"/>
        <w:rPr>
          <w:rFonts w:cstheme="minorHAnsi"/>
          <w:sz w:val="20"/>
          <w:szCs w:val="20"/>
        </w:rPr>
      </w:pPr>
      <w:r w:rsidRPr="00BA12EF">
        <w:rPr>
          <w:rFonts w:cstheme="minorHAnsi"/>
          <w:sz w:val="20"/>
          <w:szCs w:val="20"/>
        </w:rPr>
        <w:t>0400</w:t>
      </w:r>
      <w:r w:rsidRPr="00BA12EF">
        <w:rPr>
          <w:rFonts w:cstheme="minorHAnsi"/>
          <w:sz w:val="20"/>
          <w:szCs w:val="20"/>
        </w:rPr>
        <w:tab/>
        <w:t>Comprehensive Plans</w:t>
      </w:r>
    </w:p>
    <w:p w:rsidR="00E01151" w:rsidRPr="00BA12EF" w:rsidRDefault="00E01151" w:rsidP="00E01151">
      <w:pPr>
        <w:tabs>
          <w:tab w:val="left" w:pos="360"/>
          <w:tab w:val="left" w:pos="4320"/>
          <w:tab w:val="left" w:pos="5040"/>
        </w:tabs>
        <w:spacing w:after="0"/>
        <w:ind w:left="360"/>
        <w:rPr>
          <w:rFonts w:cstheme="minorHAnsi"/>
          <w:sz w:val="20"/>
          <w:szCs w:val="20"/>
        </w:rPr>
      </w:pPr>
      <w:r w:rsidRPr="00BA12EF">
        <w:rPr>
          <w:rFonts w:cstheme="minorHAnsi"/>
          <w:sz w:val="20"/>
          <w:szCs w:val="20"/>
        </w:rPr>
        <w:t>0420</w:t>
      </w:r>
      <w:r w:rsidRPr="00BA12EF">
        <w:rPr>
          <w:rFonts w:cstheme="minorHAnsi"/>
          <w:sz w:val="20"/>
          <w:szCs w:val="20"/>
        </w:rPr>
        <w:tab/>
        <w:t>School Plans/Site Councils</w:t>
      </w:r>
    </w:p>
    <w:p w:rsidR="00E01151" w:rsidRPr="00BA12EF" w:rsidRDefault="00E01151" w:rsidP="00E01151">
      <w:pPr>
        <w:tabs>
          <w:tab w:val="left" w:pos="360"/>
          <w:tab w:val="left" w:pos="4320"/>
          <w:tab w:val="left" w:pos="5040"/>
        </w:tabs>
        <w:spacing w:after="0"/>
        <w:ind w:left="360"/>
        <w:rPr>
          <w:rFonts w:cstheme="minorHAnsi"/>
          <w:sz w:val="20"/>
          <w:szCs w:val="20"/>
        </w:rPr>
      </w:pPr>
      <w:r w:rsidRPr="00BA12EF">
        <w:rPr>
          <w:rFonts w:cstheme="minorHAnsi"/>
          <w:sz w:val="20"/>
          <w:szCs w:val="20"/>
        </w:rPr>
        <w:t>0460</w:t>
      </w:r>
      <w:r w:rsidRPr="00BA12EF">
        <w:rPr>
          <w:rFonts w:cstheme="minorHAnsi"/>
          <w:sz w:val="20"/>
          <w:szCs w:val="20"/>
        </w:rPr>
        <w:tab/>
        <w:t>Local Control and Accountability Plan</w:t>
      </w:r>
    </w:p>
    <w:p w:rsidR="00E01151" w:rsidRPr="00BA12EF" w:rsidRDefault="00E01151" w:rsidP="00E01151">
      <w:pPr>
        <w:tabs>
          <w:tab w:val="left" w:pos="360"/>
          <w:tab w:val="left" w:pos="4320"/>
          <w:tab w:val="left" w:pos="5040"/>
        </w:tabs>
        <w:spacing w:after="0"/>
        <w:ind w:left="360"/>
        <w:rPr>
          <w:rFonts w:cstheme="minorHAnsi"/>
          <w:sz w:val="20"/>
          <w:szCs w:val="20"/>
        </w:rPr>
      </w:pPr>
      <w:r w:rsidRPr="00BA12EF">
        <w:rPr>
          <w:rFonts w:cstheme="minorHAnsi"/>
          <w:sz w:val="20"/>
          <w:szCs w:val="20"/>
        </w:rPr>
        <w:t>0500</w:t>
      </w:r>
      <w:r w:rsidRPr="00BA12EF">
        <w:rPr>
          <w:rFonts w:cstheme="minorHAnsi"/>
          <w:sz w:val="20"/>
          <w:szCs w:val="20"/>
        </w:rPr>
        <w:tab/>
        <w:t>Accountability</w:t>
      </w:r>
    </w:p>
    <w:p w:rsidR="00E01151" w:rsidRPr="00BA12EF" w:rsidRDefault="00E01151" w:rsidP="00E01151">
      <w:pPr>
        <w:tabs>
          <w:tab w:val="left" w:pos="360"/>
          <w:tab w:val="left" w:pos="4320"/>
          <w:tab w:val="left" w:pos="5040"/>
        </w:tabs>
        <w:spacing w:after="0"/>
        <w:ind w:left="360"/>
        <w:rPr>
          <w:rFonts w:cstheme="minorHAnsi"/>
          <w:sz w:val="20"/>
          <w:szCs w:val="20"/>
        </w:rPr>
      </w:pPr>
      <w:r w:rsidRPr="00BA12EF">
        <w:rPr>
          <w:rFonts w:cstheme="minorHAnsi"/>
          <w:sz w:val="20"/>
          <w:szCs w:val="20"/>
        </w:rPr>
        <w:t>0520</w:t>
      </w:r>
      <w:r w:rsidRPr="00BA12EF">
        <w:rPr>
          <w:rFonts w:cstheme="minorHAnsi"/>
          <w:sz w:val="20"/>
          <w:szCs w:val="20"/>
        </w:rPr>
        <w:tab/>
        <w:t>Intervention in Underperforming Schools</w:t>
      </w:r>
    </w:p>
    <w:p w:rsidR="00E01151" w:rsidRPr="00BA12EF" w:rsidRDefault="00E01151" w:rsidP="00E01151">
      <w:pPr>
        <w:tabs>
          <w:tab w:val="left" w:pos="360"/>
          <w:tab w:val="left" w:pos="4320"/>
          <w:tab w:val="left" w:pos="5040"/>
        </w:tabs>
        <w:spacing w:after="0"/>
        <w:ind w:left="360"/>
        <w:rPr>
          <w:rFonts w:cstheme="minorHAnsi"/>
          <w:sz w:val="20"/>
          <w:szCs w:val="20"/>
        </w:rPr>
      </w:pPr>
      <w:r w:rsidRPr="00BA12EF">
        <w:rPr>
          <w:rFonts w:cstheme="minorHAnsi"/>
          <w:sz w:val="20"/>
          <w:szCs w:val="20"/>
        </w:rPr>
        <w:t>5116.1</w:t>
      </w:r>
      <w:r w:rsidRPr="00BA12EF">
        <w:rPr>
          <w:rFonts w:cstheme="minorHAnsi"/>
          <w:sz w:val="20"/>
          <w:szCs w:val="20"/>
        </w:rPr>
        <w:tab/>
        <w:t>Intradistrict Open Enrollment</w:t>
      </w:r>
    </w:p>
    <w:p w:rsidR="00E01151" w:rsidRPr="00BA12EF" w:rsidRDefault="00E01151" w:rsidP="00E01151">
      <w:pPr>
        <w:tabs>
          <w:tab w:val="left" w:pos="360"/>
          <w:tab w:val="left" w:pos="4320"/>
          <w:tab w:val="left" w:pos="5040"/>
        </w:tabs>
        <w:spacing w:after="0"/>
        <w:ind w:left="360"/>
        <w:rPr>
          <w:rFonts w:cstheme="minorHAnsi"/>
          <w:sz w:val="20"/>
          <w:szCs w:val="20"/>
        </w:rPr>
      </w:pPr>
      <w:r w:rsidRPr="00BA12EF">
        <w:rPr>
          <w:rFonts w:cstheme="minorHAnsi"/>
          <w:sz w:val="20"/>
          <w:szCs w:val="20"/>
        </w:rPr>
        <w:t>6011</w:t>
      </w:r>
      <w:r w:rsidRPr="00BA12EF">
        <w:rPr>
          <w:rFonts w:cstheme="minorHAnsi"/>
          <w:sz w:val="20"/>
          <w:szCs w:val="20"/>
        </w:rPr>
        <w:tab/>
        <w:t>Academic Standards</w:t>
      </w:r>
    </w:p>
    <w:p w:rsidR="00824CF2" w:rsidRPr="00BA12EF" w:rsidRDefault="00E01151" w:rsidP="00E01151">
      <w:pPr>
        <w:tabs>
          <w:tab w:val="left" w:pos="360"/>
          <w:tab w:val="left" w:pos="4320"/>
          <w:tab w:val="left" w:pos="5040"/>
        </w:tabs>
        <w:spacing w:after="0"/>
        <w:ind w:left="360"/>
      </w:pPr>
      <w:r w:rsidRPr="00BA12EF">
        <w:rPr>
          <w:rFonts w:cstheme="minorHAnsi"/>
          <w:sz w:val="20"/>
          <w:szCs w:val="20"/>
        </w:rPr>
        <w:t>6171</w:t>
      </w:r>
      <w:r w:rsidRPr="00BA12EF">
        <w:rPr>
          <w:rFonts w:cstheme="minorHAnsi"/>
          <w:sz w:val="20"/>
          <w:szCs w:val="20"/>
        </w:rPr>
        <w:tab/>
        <w:t>Title I Programs</w:t>
      </w:r>
    </w:p>
    <w:sectPr w:rsidR="00824CF2" w:rsidRPr="00BA12EF" w:rsidSect="00425BA9">
      <w:headerReference w:type="default" r:id="rId7"/>
      <w:headerReference w:type="first" r:id="rId8"/>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E37" w:rsidRDefault="00ED3E37" w:rsidP="00995F89">
      <w:pPr>
        <w:spacing w:after="0" w:line="240" w:lineRule="auto"/>
      </w:pPr>
      <w:r>
        <w:separator/>
      </w:r>
    </w:p>
  </w:endnote>
  <w:endnote w:type="continuationSeparator" w:id="0">
    <w:p w:rsidR="00ED3E37" w:rsidRDefault="00ED3E37" w:rsidP="0099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E37" w:rsidRDefault="00ED3E37" w:rsidP="00995F89">
      <w:pPr>
        <w:spacing w:after="0" w:line="240" w:lineRule="auto"/>
      </w:pPr>
      <w:r>
        <w:separator/>
      </w:r>
    </w:p>
  </w:footnote>
  <w:footnote w:type="continuationSeparator" w:id="0">
    <w:p w:rsidR="00ED3E37" w:rsidRDefault="00ED3E37" w:rsidP="0099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745022"/>
      <w:docPartObj>
        <w:docPartGallery w:val="Page Numbers (Top of Page)"/>
        <w:docPartUnique/>
      </w:docPartObj>
    </w:sdtPr>
    <w:sdtEndPr/>
    <w:sdtContent>
      <w:p w:rsidR="00B25429" w:rsidRPr="00BA12EF" w:rsidRDefault="00423B93" w:rsidP="00B25429">
        <w:pPr>
          <w:pStyle w:val="Header"/>
          <w:jc w:val="right"/>
        </w:pPr>
        <w:r w:rsidRPr="00BA12EF">
          <w:t xml:space="preserve">BP </w:t>
        </w:r>
        <w:r w:rsidR="00E01151" w:rsidRPr="00BA12EF">
          <w:t>0520.1: Comprehensive and Targeted School Improvement</w:t>
        </w:r>
      </w:p>
      <w:p w:rsidR="00B25429" w:rsidRPr="00BA12EF" w:rsidRDefault="00B25429" w:rsidP="00B25429">
        <w:pPr>
          <w:pStyle w:val="Header"/>
          <w:jc w:val="right"/>
          <w:rPr>
            <w:bCs/>
          </w:rPr>
        </w:pPr>
        <w:r w:rsidRPr="00BA12EF">
          <w:t xml:space="preserve">Page </w:t>
        </w:r>
        <w:r w:rsidRPr="00BA12EF">
          <w:rPr>
            <w:bCs/>
          </w:rPr>
          <w:fldChar w:fldCharType="begin"/>
        </w:r>
        <w:r w:rsidRPr="00BA12EF">
          <w:rPr>
            <w:bCs/>
          </w:rPr>
          <w:instrText xml:space="preserve"> PAGE </w:instrText>
        </w:r>
        <w:r w:rsidRPr="00BA12EF">
          <w:rPr>
            <w:bCs/>
          </w:rPr>
          <w:fldChar w:fldCharType="separate"/>
        </w:r>
        <w:r w:rsidR="00425BA9">
          <w:rPr>
            <w:bCs/>
            <w:noProof/>
          </w:rPr>
          <w:t>2</w:t>
        </w:r>
        <w:r w:rsidRPr="00BA12EF">
          <w:rPr>
            <w:bCs/>
          </w:rPr>
          <w:fldChar w:fldCharType="end"/>
        </w:r>
        <w:r w:rsidRPr="00BA12EF">
          <w:t xml:space="preserve"> of </w:t>
        </w:r>
        <w:r w:rsidRPr="00BA12EF">
          <w:rPr>
            <w:bCs/>
          </w:rPr>
          <w:fldChar w:fldCharType="begin"/>
        </w:r>
        <w:r w:rsidRPr="00BA12EF">
          <w:rPr>
            <w:bCs/>
          </w:rPr>
          <w:instrText xml:space="preserve"> NUMPAGES  </w:instrText>
        </w:r>
        <w:r w:rsidRPr="00BA12EF">
          <w:rPr>
            <w:bCs/>
          </w:rPr>
          <w:fldChar w:fldCharType="separate"/>
        </w:r>
        <w:r w:rsidR="00425BA9">
          <w:rPr>
            <w:bCs/>
            <w:noProof/>
          </w:rPr>
          <w:t>2</w:t>
        </w:r>
        <w:r w:rsidRPr="00BA12EF">
          <w:rPr>
            <w:bCs/>
          </w:rPr>
          <w:fldChar w:fldCharType="end"/>
        </w:r>
      </w:p>
      <w:p w:rsidR="00B25429" w:rsidRPr="00BA12EF" w:rsidRDefault="00ED3E37" w:rsidP="00133C55">
        <w:pPr>
          <w:pStyle w:val="Header"/>
          <w:tabs>
            <w:tab w:val="clear" w:pos="4680"/>
            <w:tab w:val="clear" w:pos="9360"/>
          </w:tabs>
          <w:ind w:left="-180" w:right="-180"/>
          <w:jc w:val="right"/>
          <w:rPr>
            <w:bCs/>
          </w:rPr>
        </w:pPr>
        <w:r>
          <w:rPr>
            <w:bCs/>
          </w:rPr>
          <w:pict>
            <v:rect id="_x0000_i1026" style="width:0;height:1.5pt" o:hralign="center" o:hrstd="t" o:hr="t" fillcolor="#a0a0a0" stroked="f"/>
          </w:pict>
        </w:r>
      </w:p>
    </w:sdtContent>
  </w:sdt>
  <w:p w:rsidR="00995F89" w:rsidRPr="00BA12EF" w:rsidRDefault="00995F89" w:rsidP="00995F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29" w:rsidRDefault="00B25429" w:rsidP="00B25429">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0448"/>
    <w:multiLevelType w:val="multilevel"/>
    <w:tmpl w:val="E1E46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C83499"/>
    <w:multiLevelType w:val="multilevel"/>
    <w:tmpl w:val="FF6440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4F2467"/>
    <w:multiLevelType w:val="multilevel"/>
    <w:tmpl w:val="92E28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2A05E4"/>
    <w:multiLevelType w:val="multilevel"/>
    <w:tmpl w:val="3A78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29394F"/>
    <w:multiLevelType w:val="multilevel"/>
    <w:tmpl w:val="B2260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89"/>
    <w:rsid w:val="00066D21"/>
    <w:rsid w:val="00133C55"/>
    <w:rsid w:val="0027284F"/>
    <w:rsid w:val="00302971"/>
    <w:rsid w:val="00364691"/>
    <w:rsid w:val="004104DA"/>
    <w:rsid w:val="00423B93"/>
    <w:rsid w:val="00425BA9"/>
    <w:rsid w:val="004B2385"/>
    <w:rsid w:val="004E6D70"/>
    <w:rsid w:val="00565133"/>
    <w:rsid w:val="0076520A"/>
    <w:rsid w:val="007934E8"/>
    <w:rsid w:val="00824CF2"/>
    <w:rsid w:val="008D52FA"/>
    <w:rsid w:val="00995F89"/>
    <w:rsid w:val="009D6949"/>
    <w:rsid w:val="009D72F5"/>
    <w:rsid w:val="00A516FD"/>
    <w:rsid w:val="00B25429"/>
    <w:rsid w:val="00BA12EF"/>
    <w:rsid w:val="00D66E1E"/>
    <w:rsid w:val="00E01151"/>
    <w:rsid w:val="00E06412"/>
    <w:rsid w:val="00ED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8CFC5-45D5-4AF9-9589-75136962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11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F89"/>
  </w:style>
  <w:style w:type="paragraph" w:styleId="Footer">
    <w:name w:val="footer"/>
    <w:basedOn w:val="Normal"/>
    <w:link w:val="FooterChar"/>
    <w:uiPriority w:val="99"/>
    <w:unhideWhenUsed/>
    <w:rsid w:val="00995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F89"/>
  </w:style>
  <w:style w:type="character" w:styleId="PageNumber">
    <w:name w:val="page number"/>
    <w:basedOn w:val="DefaultParagraphFont"/>
    <w:rsid w:val="00995F89"/>
  </w:style>
  <w:style w:type="character" w:customStyle="1" w:styleId="Heading1Char">
    <w:name w:val="Heading 1 Char"/>
    <w:basedOn w:val="DefaultParagraphFont"/>
    <w:link w:val="Heading1"/>
    <w:uiPriority w:val="9"/>
    <w:rsid w:val="00E0115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A1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0298">
      <w:bodyDiv w:val="1"/>
      <w:marLeft w:val="0"/>
      <w:marRight w:val="0"/>
      <w:marTop w:val="0"/>
      <w:marBottom w:val="0"/>
      <w:divBdr>
        <w:top w:val="none" w:sz="0" w:space="0" w:color="auto"/>
        <w:left w:val="none" w:sz="0" w:space="0" w:color="auto"/>
        <w:bottom w:val="none" w:sz="0" w:space="0" w:color="auto"/>
        <w:right w:val="none" w:sz="0" w:space="0" w:color="auto"/>
      </w:divBdr>
    </w:div>
    <w:div w:id="114639852">
      <w:bodyDiv w:val="1"/>
      <w:marLeft w:val="0"/>
      <w:marRight w:val="0"/>
      <w:marTop w:val="0"/>
      <w:marBottom w:val="0"/>
      <w:divBdr>
        <w:top w:val="none" w:sz="0" w:space="0" w:color="auto"/>
        <w:left w:val="none" w:sz="0" w:space="0" w:color="auto"/>
        <w:bottom w:val="none" w:sz="0" w:space="0" w:color="auto"/>
        <w:right w:val="none" w:sz="0" w:space="0" w:color="auto"/>
      </w:divBdr>
    </w:div>
    <w:div w:id="497573363">
      <w:bodyDiv w:val="1"/>
      <w:marLeft w:val="0"/>
      <w:marRight w:val="0"/>
      <w:marTop w:val="0"/>
      <w:marBottom w:val="0"/>
      <w:divBdr>
        <w:top w:val="none" w:sz="0" w:space="0" w:color="auto"/>
        <w:left w:val="none" w:sz="0" w:space="0" w:color="auto"/>
        <w:bottom w:val="none" w:sz="0" w:space="0" w:color="auto"/>
        <w:right w:val="none" w:sz="0" w:space="0" w:color="auto"/>
      </w:divBdr>
    </w:div>
    <w:div w:id="858347268">
      <w:bodyDiv w:val="1"/>
      <w:marLeft w:val="0"/>
      <w:marRight w:val="0"/>
      <w:marTop w:val="0"/>
      <w:marBottom w:val="0"/>
      <w:divBdr>
        <w:top w:val="none" w:sz="0" w:space="0" w:color="auto"/>
        <w:left w:val="none" w:sz="0" w:space="0" w:color="auto"/>
        <w:bottom w:val="none" w:sz="0" w:space="0" w:color="auto"/>
        <w:right w:val="none" w:sz="0" w:space="0" w:color="auto"/>
      </w:divBdr>
    </w:div>
    <w:div w:id="1348212084">
      <w:bodyDiv w:val="1"/>
      <w:marLeft w:val="0"/>
      <w:marRight w:val="0"/>
      <w:marTop w:val="0"/>
      <w:marBottom w:val="0"/>
      <w:divBdr>
        <w:top w:val="none" w:sz="0" w:space="0" w:color="auto"/>
        <w:left w:val="none" w:sz="0" w:space="0" w:color="auto"/>
        <w:bottom w:val="none" w:sz="0" w:space="0" w:color="auto"/>
        <w:right w:val="none" w:sz="0" w:space="0" w:color="auto"/>
      </w:divBdr>
    </w:div>
    <w:div w:id="1892959789">
      <w:bodyDiv w:val="1"/>
      <w:marLeft w:val="0"/>
      <w:marRight w:val="0"/>
      <w:marTop w:val="0"/>
      <w:marBottom w:val="0"/>
      <w:divBdr>
        <w:top w:val="none" w:sz="0" w:space="0" w:color="auto"/>
        <w:left w:val="none" w:sz="0" w:space="0" w:color="auto"/>
        <w:bottom w:val="none" w:sz="0" w:space="0" w:color="auto"/>
        <w:right w:val="none" w:sz="0" w:space="0" w:color="auto"/>
      </w:divBdr>
      <w:divsChild>
        <w:div w:id="204491340">
          <w:marLeft w:val="0"/>
          <w:marRight w:val="0"/>
          <w:marTop w:val="0"/>
          <w:marBottom w:val="300"/>
          <w:divBdr>
            <w:top w:val="none" w:sz="0" w:space="0" w:color="auto"/>
            <w:left w:val="none" w:sz="0" w:space="0" w:color="auto"/>
            <w:bottom w:val="none" w:sz="0" w:space="0" w:color="auto"/>
            <w:right w:val="none" w:sz="0" w:space="0" w:color="auto"/>
          </w:divBdr>
          <w:divsChild>
            <w:div w:id="5629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Silver Valley USD</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Bootsma</dc:creator>
  <cp:keywords/>
  <dc:description/>
  <cp:lastModifiedBy>Martha Bootsma</cp:lastModifiedBy>
  <cp:revision>2</cp:revision>
  <cp:lastPrinted>2020-11-13T23:33:00Z</cp:lastPrinted>
  <dcterms:created xsi:type="dcterms:W3CDTF">2021-03-10T00:58:00Z</dcterms:created>
  <dcterms:modified xsi:type="dcterms:W3CDTF">2021-03-10T00:58:00Z</dcterms:modified>
</cp:coreProperties>
</file>